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2"/>
        <w:gridCol w:w="5185"/>
        <w:gridCol w:w="180"/>
        <w:gridCol w:w="106"/>
        <w:gridCol w:w="408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9F4CA8E" w:rsidR="00093CA9" w:rsidRDefault="0023664E" w:rsidP="00093CA9">
            <w:r w:rsidRPr="0023664E">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5B45D802" w14:textId="60801B85" w:rsidR="00766129" w:rsidRPr="00766129" w:rsidRDefault="00766129" w:rsidP="00766129">
            <w:r w:rsidRPr="00766129">
              <w:t>Presidential Decree of the Arab Republic of Egypt</w:t>
            </w:r>
            <w:r>
              <w:t xml:space="preserve">, </w:t>
            </w:r>
            <w:r w:rsidRPr="00766129">
              <w:t>Law No. 203 of 2014 regarding the promotion of electricity production from renewable energy sources.</w:t>
            </w:r>
          </w:p>
          <w:p w14:paraId="313A697B" w14:textId="6B84F1A3" w:rsidR="00766129" w:rsidRDefault="00766129" w:rsidP="00093CA9">
            <w:pPr>
              <w:rPr>
                <w:rFonts w:hint="cs"/>
                <w:rtl/>
                <w:lang w:bidi="ar-EG"/>
              </w:rPr>
            </w:pPr>
            <w:r>
              <w:rPr>
                <w:rFonts w:hint="cs"/>
                <w:rtl/>
                <w:lang w:bidi="ar-EG"/>
              </w:rPr>
              <w:t>(قرار رئيس جمهورية مصر العربية بالقانون رقم 203 لسنة 2014 بشأن تحفيز انتاج الكهرباء من مصادر الطاقة المتجددة)</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7D7ED63" w14:textId="51E77E88" w:rsidR="00766129" w:rsidRDefault="00766129" w:rsidP="00093CA9">
            <w:r>
              <w:t xml:space="preserve">Please note that no official translation has been issued for this policy tool. </w:t>
            </w:r>
          </w:p>
          <w:p w14:paraId="1523C232" w14:textId="2DACA4F2" w:rsidR="00766129" w:rsidRDefault="00766129" w:rsidP="00766129">
            <w:hyperlink r:id="rId17" w:history="1">
              <w:r w:rsidRPr="006A54A3">
                <w:rPr>
                  <w:rStyle w:val="Hyperlink"/>
                </w:rPr>
                <w:t>https://web.archive.org/web/20240621162404/https://egypte</w:t>
              </w:r>
              <w:r w:rsidRPr="006A54A3">
                <w:rPr>
                  <w:rStyle w:val="Hyperlink"/>
                </w:rPr>
                <w:t>r</w:t>
              </w:r>
              <w:r w:rsidRPr="006A54A3">
                <w:rPr>
                  <w:rStyle w:val="Hyperlink"/>
                </w:rPr>
                <w:t>a.org/ar/Downloads/Laws/RenewableLaw.pdf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F2639D"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52DEA0C" w:rsidR="00093CA9" w:rsidRDefault="003D46C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D87D490"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235E70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D78923F"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53B86B3" w:rsidR="00093CA9" w:rsidRDefault="00FF75CE" w:rsidP="00093CA9">
            <w:r w:rsidRPr="00FF75CE">
              <w:t>The policy tool promote</w:t>
            </w:r>
            <w:r>
              <w:t>s</w:t>
            </w:r>
            <w:r w:rsidRPr="00FF75CE">
              <w:t xml:space="preserve"> the development and integration of renewable energy </w:t>
            </w:r>
            <w:r w:rsidR="00B50BA5">
              <w:t>to generate electricity which aligns with</w:t>
            </w:r>
            <w:r w:rsidRPr="00FF75CE">
              <w:t xml:space="preserve"> Egypt’s transition planning toward a low-carbon economy. The law outlines various mechanisms, including the establishment of renewable energy projects by public and private entities, </w:t>
            </w:r>
            <w:r w:rsidR="00B50BA5">
              <w:t>and</w:t>
            </w:r>
            <w:r w:rsidRPr="00FF75CE">
              <w:t xml:space="preserve"> mandates certain electricity consumers to use a minimum percentage of renewable energy</w:t>
            </w:r>
            <w:r w:rsidR="00B50BA5">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7AB61D6" w:rsidR="00093CA9" w:rsidRDefault="00B50BA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7F70D43" w:rsidR="00093CA9" w:rsidRPr="00173D7C" w:rsidRDefault="00B50BA5"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867B53D" w:rsidR="00093CA9" w:rsidRPr="00173D7C" w:rsidRDefault="00B50BA5" w:rsidP="00093CA9">
            <w:pPr>
              <w:rPr>
                <w:color w:val="000000" w:themeColor="text1"/>
              </w:rPr>
            </w:pPr>
            <w:r>
              <w:rPr>
                <w:color w:val="000000" w:themeColor="text1"/>
              </w:rPr>
              <w:t>2014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232A880" w:rsidR="00093CA9" w:rsidRDefault="00B50BA5" w:rsidP="00093CA9">
            <w:r>
              <w:t>Legislature; Head of State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0ACA788" w:rsidR="00093CA9" w:rsidRPr="006B7B0D" w:rsidRDefault="00B50BA5" w:rsidP="00093CA9">
            <w:r w:rsidRPr="00B50BA5">
              <w:t>Electricity Utility and Consumer Protection Regulatory Agency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8494054"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D35BE71" w:rsidR="00093CA9" w:rsidRPr="006B7B0D" w:rsidRDefault="002F4B0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25FA675" w:rsidR="00093CA9" w:rsidRPr="006B7B0D" w:rsidRDefault="002F4B01" w:rsidP="00093CA9">
            <w:r>
              <w:t xml:space="preserve">The Prime Minister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A81954C" w:rsidR="00093CA9" w:rsidRPr="006B7B0D" w:rsidRDefault="002F4B01" w:rsidP="00093CA9">
            <w:pPr>
              <w:rPr>
                <w:rtl/>
              </w:rPr>
            </w:pPr>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837CEE2" w:rsidR="00093CA9" w:rsidRPr="00BE5A09" w:rsidRDefault="00BE5A09" w:rsidP="00093CA9">
            <w:pPr>
              <w:rPr>
                <w:lang w:val="en-US"/>
              </w:rPr>
            </w:pPr>
            <w:r>
              <w:rPr>
                <w:lang w:val="en-US"/>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F095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25"/>
        <w:gridCol w:w="4088"/>
        <w:gridCol w:w="423"/>
        <w:gridCol w:w="1522"/>
        <w:gridCol w:w="1820"/>
        <w:gridCol w:w="1883"/>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410221CE" w:rsidR="00C4670C" w:rsidRPr="00C37D48" w:rsidRDefault="00BE5A09"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4A9EFA99" w:rsidR="00C4670C" w:rsidRPr="00C37D48" w:rsidRDefault="00BE5A09"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D0FC746" w:rsidR="00C4670C" w:rsidRPr="00C37D48" w:rsidRDefault="00BE5A09"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0230B596" w:rsidR="00C4670C" w:rsidRPr="00C37D48" w:rsidRDefault="00BE5A09"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0009287" w:rsidR="00C4670C" w:rsidRPr="00C37D48" w:rsidRDefault="00BE5A09"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15C831A" w:rsidR="00C4670C" w:rsidRPr="00C37D48" w:rsidRDefault="00BE5A09"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51E388A" w:rsidR="00C4670C" w:rsidRPr="00C37D48" w:rsidRDefault="00BE5A0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9D7B0BC" w:rsidR="00C4670C" w:rsidRPr="00C37D48" w:rsidRDefault="00BE5A09"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2A3C80E" w:rsidR="00C4670C" w:rsidRPr="00C37D48" w:rsidRDefault="00BE5A09"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503E9DEC" w:rsidR="00C4670C" w:rsidRPr="00C37D48" w:rsidRDefault="00BE5A09"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D3D429A" w:rsidR="00C4670C" w:rsidRPr="00C37D48" w:rsidRDefault="00BE5A09"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36BD389" w:rsidR="00C4670C" w:rsidRPr="00C37D48" w:rsidRDefault="00BE5A09"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75B8BD7" w:rsidR="004F276F" w:rsidRPr="00C37D48" w:rsidRDefault="00BE5A09"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E108002" w:rsidR="004F276F" w:rsidRPr="00C37D48" w:rsidRDefault="00BE5A09"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5A0BC2D0" w:rsidR="004F276F" w:rsidRPr="00C37D48" w:rsidRDefault="00BE5A09"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3A54BD8" w:rsidR="004F276F" w:rsidRPr="00C37D48" w:rsidRDefault="00BE5A09"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103D8998" w:rsidR="004F276F" w:rsidRPr="00C37D48" w:rsidRDefault="00BE5A09"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3D45281" w:rsidR="004F276F" w:rsidRPr="00C37D48" w:rsidRDefault="00BE5A09"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36DE0E1" w:rsidR="004F276F" w:rsidRPr="00C37D48" w:rsidRDefault="00BE5A09"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4958CC30" w:rsidR="004F276F" w:rsidRPr="00C37D48" w:rsidRDefault="00BE5A09"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E9E2CF8" w:rsidR="004F276F" w:rsidRPr="00C37D48" w:rsidRDefault="00BE5A09"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53016A3" w:rsidR="004F276F" w:rsidRPr="00C37D48" w:rsidRDefault="00BE5A09"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0E13E4F" w:rsidR="004F276F" w:rsidRPr="00C37D48" w:rsidRDefault="00BE5A09"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C204766" w:rsidR="004F276F" w:rsidRPr="00C37D48" w:rsidRDefault="00BE5A09"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3D5FE0B5" w:rsidR="004F276F" w:rsidRPr="00C37D48" w:rsidRDefault="00BE5A09"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23C52A0" w:rsidR="004F276F" w:rsidRPr="00C37D48" w:rsidRDefault="00BE5A09"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F3A99EA" w:rsidR="004F276F" w:rsidRPr="00C37D48" w:rsidRDefault="00BE5A09"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062FA564" w:rsidR="004F276F" w:rsidRPr="00C37D48" w:rsidRDefault="00BE5A09"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CE898B6" w:rsidR="004F276F" w:rsidRPr="00C37D48" w:rsidRDefault="00BE5A09"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2375E7A" w:rsidR="004F276F" w:rsidRPr="00C37D48" w:rsidRDefault="00BE5A09"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1130386D" w:rsidR="004F276F" w:rsidRPr="00C37D48" w:rsidRDefault="00BE5A09"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1F179BB" w:rsidR="004F276F" w:rsidRPr="00C37D48" w:rsidRDefault="00BE5A09"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7D79D07" w:rsidR="004F276F" w:rsidRPr="00C37D48" w:rsidRDefault="00BE5A09"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15AFE1D3" w:rsidR="004F276F" w:rsidRPr="00C37D48" w:rsidRDefault="00BE5A09"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5EA80DE" w14:textId="050CAB80" w:rsidR="00BE5A09" w:rsidRPr="002F4B01" w:rsidRDefault="00BE5A09" w:rsidP="002F4B01">
            <w:pPr>
              <w:pStyle w:val="ListParagraph"/>
              <w:numPr>
                <w:ilvl w:val="0"/>
                <w:numId w:val="49"/>
              </w:numPr>
              <w:jc w:val="both"/>
              <w:rPr>
                <w:rFonts w:ascii="Calibri" w:hAnsi="Calibri" w:cs="Calibri"/>
              </w:rPr>
            </w:pPr>
            <w:r w:rsidRPr="002F4B01">
              <w:rPr>
                <w:rFonts w:ascii="Calibri" w:hAnsi="Calibri" w:cs="Calibri"/>
              </w:rPr>
              <w:t>Companies that own, operate, or invest in renewable electricity projects must obtain a license and enter power purchase agreements or sell under feed-in tariffs.</w:t>
            </w:r>
          </w:p>
          <w:p w14:paraId="753B4192" w14:textId="76C37864" w:rsidR="00BE5A09" w:rsidRPr="002F4B01" w:rsidRDefault="00BE5A09" w:rsidP="002F4B01">
            <w:pPr>
              <w:pStyle w:val="ListParagraph"/>
              <w:numPr>
                <w:ilvl w:val="0"/>
                <w:numId w:val="49"/>
              </w:numPr>
              <w:jc w:val="both"/>
              <w:rPr>
                <w:rFonts w:ascii="Calibri" w:hAnsi="Calibri" w:cs="Calibri"/>
              </w:rPr>
            </w:pPr>
            <w:r w:rsidRPr="002F4B01">
              <w:rPr>
                <w:rFonts w:ascii="Calibri" w:hAnsi="Calibri" w:cs="Calibri"/>
              </w:rPr>
              <w:lastRenderedPageBreak/>
              <w:t>State-owned companies must purchase renewable electricity from private generators, connect renewable projects to the grid, and cover grid expansion costs when budgeted by the state.</w:t>
            </w:r>
          </w:p>
          <w:p w14:paraId="41EA3B18" w14:textId="6A0C9E50" w:rsidR="004F276F" w:rsidRPr="002F4B01" w:rsidRDefault="00BE5A09" w:rsidP="002F4B01">
            <w:pPr>
              <w:pStyle w:val="ListParagraph"/>
              <w:numPr>
                <w:ilvl w:val="0"/>
                <w:numId w:val="49"/>
              </w:numPr>
              <w:jc w:val="both"/>
              <w:rPr>
                <w:rFonts w:ascii="Calibri" w:hAnsi="Calibri" w:cs="Calibri"/>
              </w:rPr>
            </w:pPr>
            <w:r w:rsidRPr="002F4B01">
              <w:rPr>
                <w:rFonts w:ascii="Calibri" w:hAnsi="Calibri" w:cs="Calibri"/>
              </w:rPr>
              <w:t>National government authorities must set strategies, propose capacity targets, and issue licenses and regulations.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1775EC08"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21ECA47B" w:rsidR="004F276F" w:rsidRPr="00C37D48" w:rsidRDefault="004F276F" w:rsidP="00C37D48">
            <w:pPr>
              <w:rPr>
                <w:rFonts w:ascii="Calibri" w:hAnsi="Calibri" w:cs="Calibri"/>
              </w:rPr>
            </w:pPr>
          </w:p>
        </w:tc>
      </w:tr>
      <w:tr w:rsidR="004F276F" w:rsidRPr="006F095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29C7BD31"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2B0D8824"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02F2628"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543B8F8A" w14:textId="77777777" w:rsidR="004F276F" w:rsidRDefault="007F32A3" w:rsidP="00C37D48">
            <w:pPr>
              <w:rPr>
                <w:rFonts w:ascii="Calibri" w:hAnsi="Calibri" w:cs="Calibri"/>
              </w:rPr>
            </w:pPr>
            <w:r>
              <w:rPr>
                <w:rFonts w:ascii="Calibri" w:hAnsi="Calibri" w:cs="Calibri"/>
              </w:rPr>
              <w:t>Entities producing more than 500 kW of renewable electricity must establish a local project company.</w:t>
            </w:r>
          </w:p>
          <w:p w14:paraId="3878F597" w14:textId="77777777" w:rsidR="007F32A3" w:rsidRDefault="007F32A3" w:rsidP="00C37D48">
            <w:pPr>
              <w:rPr>
                <w:rFonts w:ascii="Calibri" w:hAnsi="Calibri" w:cs="Calibri"/>
              </w:rPr>
            </w:pPr>
            <w:r>
              <w:rPr>
                <w:rFonts w:ascii="Calibri" w:hAnsi="Calibri" w:cs="Calibri"/>
              </w:rPr>
              <w:t>Entities producing more than 500 kW for their private use must get a license.</w:t>
            </w:r>
          </w:p>
          <w:p w14:paraId="16E77746" w14:textId="3140EF19" w:rsidR="007F32A3" w:rsidRPr="00C37D48" w:rsidRDefault="007F32A3" w:rsidP="00C37D48">
            <w:pPr>
              <w:rPr>
                <w:rFonts w:ascii="Calibri" w:hAnsi="Calibri" w:cs="Calibri"/>
              </w:rPr>
            </w:pPr>
            <w:r>
              <w:rPr>
                <w:rFonts w:ascii="Calibri" w:hAnsi="Calibri" w:cs="Calibri"/>
              </w:rPr>
              <w:t xml:space="preserve">Entities selling electricity commercially, whether to the grid or consumers, must comply with the policy tool. </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3247F8E" w:rsidR="004F276F" w:rsidRPr="00C37D48" w:rsidRDefault="007F32A3"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377B2F8" w:rsidR="004F276F" w:rsidRPr="00C37D48" w:rsidRDefault="007F32A3"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1EE5176"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4EB7D5B6" w:rsidR="001F30DE" w:rsidRPr="00C37D48" w:rsidRDefault="00DD3BB0"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94D56FF" w14:textId="521C18A1" w:rsidR="00DD3BB0" w:rsidRPr="00DD3BB0" w:rsidRDefault="00DD3BB0" w:rsidP="00DD3BB0">
            <w:pPr>
              <w:rPr>
                <w:rFonts w:ascii="Calibri" w:hAnsi="Calibri" w:cs="Calibri"/>
              </w:rPr>
            </w:pPr>
            <w:r w:rsidRPr="00DD3BB0">
              <w:rPr>
                <w:rFonts w:ascii="Calibri" w:hAnsi="Calibri" w:cs="Calibri"/>
              </w:rPr>
              <w:t xml:space="preserve">The 2024 annual report from the Ministry of Electricity and Renewable Energy lists the annual projects and achievements in the renewable energy development. It references all relevant laws as the legislative basis for these initiatives and projects, including Law no.203 of 2014. </w:t>
            </w:r>
          </w:p>
          <w:p w14:paraId="0CD89C5A" w14:textId="60F0AA07" w:rsidR="00DD3BB0" w:rsidRPr="00DD3BB0" w:rsidRDefault="00DD3BB0" w:rsidP="00DD3BB0">
            <w:pPr>
              <w:rPr>
                <w:rFonts w:ascii="Calibri" w:hAnsi="Calibri" w:cs="Calibri"/>
              </w:rPr>
            </w:pPr>
            <w:hyperlink r:id="rId18" w:history="1">
              <w:r w:rsidRPr="006A54A3">
                <w:rPr>
                  <w:rStyle w:val="Hyperlink"/>
                  <w:rFonts w:ascii="Calibri" w:hAnsi="Calibri" w:cs="Calibri"/>
                </w:rPr>
                <w:t>https://web.archive.org/web/20250701110809/https://nrea.gov.eg/Content/reports/eng%202024%20final%2022-5-2025.pdf</w:t>
              </w:r>
            </w:hyperlink>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44F99AA" w:rsidR="001F30DE" w:rsidRPr="00C37D48" w:rsidRDefault="007F32A3"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578C99B" w:rsidR="004F48E8" w:rsidRPr="00C37D48" w:rsidRDefault="007F32A3"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5DB0991" w:rsidR="000A1365" w:rsidRPr="00C37D48" w:rsidRDefault="007F32A3"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47DE9F0F" w:rsidR="004A4C51" w:rsidRPr="00C37D48" w:rsidRDefault="007F32A3"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2A36F23" w:rsidR="00890032" w:rsidRPr="00C37D48" w:rsidRDefault="007F32A3"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6DBEE83" w:rsidR="00B610C2" w:rsidRPr="00610F28" w:rsidRDefault="00997ABE"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2A59F46" w:rsidR="00B610C2" w:rsidRPr="00610F28" w:rsidRDefault="00997ABE"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C62BAD0" w:rsidR="00B610C2" w:rsidRPr="00610F28" w:rsidRDefault="00997ABE"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54FAB13" w:rsidR="00B610C2" w:rsidRPr="00610F28" w:rsidRDefault="00997ABE"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DEB195" w:rsidR="00B610C2" w:rsidRPr="00610F28" w:rsidRDefault="00997ABE"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C1A4BE7" w:rsidR="00B610C2" w:rsidRPr="00610F28" w:rsidRDefault="00997ABE"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BF39EA7" w:rsidR="00B610C2" w:rsidRPr="00610F28" w:rsidRDefault="00997ABE"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C394407" w:rsidR="00B610C2" w:rsidRPr="00610F28" w:rsidRDefault="00997ABE"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88F4AE7" w:rsidR="00B610C2" w:rsidRPr="00610F28" w:rsidRDefault="00997ABE"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BD9AB58" w:rsidR="00B610C2" w:rsidRPr="00610F28" w:rsidRDefault="00997ABE"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2A8ABF6" w:rsidR="00B610C2" w:rsidRPr="00610F28" w:rsidRDefault="00997ABE"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F095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F095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F095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F095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3A263B" w14:textId="77777777" w:rsidR="00BB5C0C" w:rsidRDefault="00BB5C0C" w:rsidP="00874E39">
      <w:r>
        <w:separator/>
      </w:r>
    </w:p>
  </w:endnote>
  <w:endnote w:type="continuationSeparator" w:id="0">
    <w:p w14:paraId="15AFF7BD" w14:textId="77777777" w:rsidR="00BB5C0C" w:rsidRDefault="00BB5C0C" w:rsidP="00874E39">
      <w:r>
        <w:continuationSeparator/>
      </w:r>
    </w:p>
  </w:endnote>
  <w:endnote w:type="continuationNotice" w:id="1">
    <w:p w14:paraId="4ACE3CF6" w14:textId="77777777" w:rsidR="00BB5C0C" w:rsidRDefault="00BB5C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EEBC97" w14:textId="77777777" w:rsidR="00BB5C0C" w:rsidRDefault="00BB5C0C" w:rsidP="00874E39">
      <w:r>
        <w:separator/>
      </w:r>
    </w:p>
  </w:footnote>
  <w:footnote w:type="continuationSeparator" w:id="0">
    <w:p w14:paraId="7368A849" w14:textId="77777777" w:rsidR="00BB5C0C" w:rsidRDefault="00BB5C0C" w:rsidP="00874E39">
      <w:r>
        <w:continuationSeparator/>
      </w:r>
    </w:p>
  </w:footnote>
  <w:footnote w:type="continuationNotice" w:id="1">
    <w:p w14:paraId="37C03933" w14:textId="77777777" w:rsidR="00BB5C0C" w:rsidRDefault="00BB5C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3510A23"/>
    <w:multiLevelType w:val="hybridMultilevel"/>
    <w:tmpl w:val="12C2DA62"/>
    <w:lvl w:ilvl="0" w:tplc="FA900020">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827891967">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56C"/>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8DE"/>
    <w:rsid w:val="000F4459"/>
    <w:rsid w:val="000F5926"/>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29A"/>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64E"/>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93"/>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B78"/>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B01"/>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6CA"/>
    <w:rsid w:val="003D4F6F"/>
    <w:rsid w:val="003D5104"/>
    <w:rsid w:val="003D56A4"/>
    <w:rsid w:val="003D6DA5"/>
    <w:rsid w:val="003E037B"/>
    <w:rsid w:val="003E38C7"/>
    <w:rsid w:val="003E43FE"/>
    <w:rsid w:val="003E7DD6"/>
    <w:rsid w:val="003F1282"/>
    <w:rsid w:val="003F1C8E"/>
    <w:rsid w:val="003F1E87"/>
    <w:rsid w:val="003F256E"/>
    <w:rsid w:val="003F28D5"/>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B7"/>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528"/>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7E3"/>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953"/>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129"/>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2A3"/>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7B"/>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4E9"/>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AB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536"/>
    <w:rsid w:val="009C67FA"/>
    <w:rsid w:val="009C6906"/>
    <w:rsid w:val="009D1847"/>
    <w:rsid w:val="009D1954"/>
    <w:rsid w:val="009D3783"/>
    <w:rsid w:val="009D43A7"/>
    <w:rsid w:val="009D5403"/>
    <w:rsid w:val="009D59A5"/>
    <w:rsid w:val="009D7337"/>
    <w:rsid w:val="009D7CB0"/>
    <w:rsid w:val="009E133B"/>
    <w:rsid w:val="009E1A4F"/>
    <w:rsid w:val="009E1D6C"/>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6DDB"/>
    <w:rsid w:val="00AB0830"/>
    <w:rsid w:val="00AB2CCC"/>
    <w:rsid w:val="00AB4F2C"/>
    <w:rsid w:val="00AB64F8"/>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BA5"/>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C0C"/>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A09"/>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3BB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806"/>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DB3"/>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ADC"/>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19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0FF75C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37654">
      <w:bodyDiv w:val="1"/>
      <w:marLeft w:val="0"/>
      <w:marRight w:val="0"/>
      <w:marTop w:val="0"/>
      <w:marBottom w:val="0"/>
      <w:divBdr>
        <w:top w:val="none" w:sz="0" w:space="0" w:color="auto"/>
        <w:left w:val="none" w:sz="0" w:space="0" w:color="auto"/>
        <w:bottom w:val="none" w:sz="0" w:space="0" w:color="auto"/>
        <w:right w:val="none" w:sz="0" w:space="0" w:color="auto"/>
      </w:divBdr>
      <w:divsChild>
        <w:div w:id="983389313">
          <w:marLeft w:val="0"/>
          <w:marRight w:val="0"/>
          <w:marTop w:val="0"/>
          <w:marBottom w:val="0"/>
          <w:divBdr>
            <w:top w:val="none" w:sz="0" w:space="0" w:color="auto"/>
            <w:left w:val="none" w:sz="0" w:space="0" w:color="auto"/>
            <w:bottom w:val="none" w:sz="0" w:space="0" w:color="auto"/>
            <w:right w:val="none" w:sz="0" w:space="0" w:color="auto"/>
          </w:divBdr>
          <w:divsChild>
            <w:div w:id="1113135547">
              <w:marLeft w:val="0"/>
              <w:marRight w:val="0"/>
              <w:marTop w:val="0"/>
              <w:marBottom w:val="0"/>
              <w:divBdr>
                <w:top w:val="none" w:sz="0" w:space="0" w:color="auto"/>
                <w:left w:val="none" w:sz="0" w:space="0" w:color="auto"/>
                <w:bottom w:val="none" w:sz="0" w:space="0" w:color="auto"/>
                <w:right w:val="none" w:sz="0" w:space="0" w:color="auto"/>
              </w:divBdr>
              <w:divsChild>
                <w:div w:id="1574702283">
                  <w:marLeft w:val="0"/>
                  <w:marRight w:val="0"/>
                  <w:marTop w:val="0"/>
                  <w:marBottom w:val="0"/>
                  <w:divBdr>
                    <w:top w:val="none" w:sz="0" w:space="0" w:color="auto"/>
                    <w:left w:val="none" w:sz="0" w:space="0" w:color="auto"/>
                    <w:bottom w:val="none" w:sz="0" w:space="0" w:color="auto"/>
                    <w:right w:val="none" w:sz="0" w:space="0" w:color="auto"/>
                  </w:divBdr>
                  <w:divsChild>
                    <w:div w:id="851064645">
                      <w:marLeft w:val="0"/>
                      <w:marRight w:val="0"/>
                      <w:marTop w:val="0"/>
                      <w:marBottom w:val="0"/>
                      <w:divBdr>
                        <w:top w:val="none" w:sz="0" w:space="0" w:color="auto"/>
                        <w:left w:val="none" w:sz="0" w:space="0" w:color="auto"/>
                        <w:bottom w:val="none" w:sz="0" w:space="0" w:color="auto"/>
                        <w:right w:val="none" w:sz="0" w:space="0" w:color="auto"/>
                      </w:divBdr>
                      <w:divsChild>
                        <w:div w:id="420106617">
                          <w:marLeft w:val="0"/>
                          <w:marRight w:val="0"/>
                          <w:marTop w:val="0"/>
                          <w:marBottom w:val="0"/>
                          <w:divBdr>
                            <w:top w:val="none" w:sz="0" w:space="0" w:color="auto"/>
                            <w:left w:val="none" w:sz="0" w:space="0" w:color="auto"/>
                            <w:bottom w:val="none" w:sz="0" w:space="0" w:color="auto"/>
                            <w:right w:val="none" w:sz="0" w:space="0" w:color="auto"/>
                          </w:divBdr>
                          <w:divsChild>
                            <w:div w:id="756174050">
                              <w:marLeft w:val="0"/>
                              <w:marRight w:val="0"/>
                              <w:marTop w:val="0"/>
                              <w:marBottom w:val="0"/>
                              <w:divBdr>
                                <w:top w:val="none" w:sz="0" w:space="0" w:color="auto"/>
                                <w:left w:val="none" w:sz="0" w:space="0" w:color="auto"/>
                                <w:bottom w:val="none" w:sz="0" w:space="0" w:color="auto"/>
                                <w:right w:val="none" w:sz="0" w:space="0" w:color="auto"/>
                              </w:divBdr>
                              <w:divsChild>
                                <w:div w:id="1031537772">
                                  <w:marLeft w:val="0"/>
                                  <w:marRight w:val="0"/>
                                  <w:marTop w:val="0"/>
                                  <w:marBottom w:val="0"/>
                                  <w:divBdr>
                                    <w:top w:val="none" w:sz="0" w:space="0" w:color="auto"/>
                                    <w:left w:val="none" w:sz="0" w:space="0" w:color="auto"/>
                                    <w:bottom w:val="none" w:sz="0" w:space="0" w:color="auto"/>
                                    <w:right w:val="none" w:sz="0" w:space="0" w:color="auto"/>
                                  </w:divBdr>
                                  <w:divsChild>
                                    <w:div w:id="1658998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1343076">
      <w:bodyDiv w:val="1"/>
      <w:marLeft w:val="0"/>
      <w:marRight w:val="0"/>
      <w:marTop w:val="0"/>
      <w:marBottom w:val="0"/>
      <w:divBdr>
        <w:top w:val="none" w:sz="0" w:space="0" w:color="auto"/>
        <w:left w:val="none" w:sz="0" w:space="0" w:color="auto"/>
        <w:bottom w:val="none" w:sz="0" w:space="0" w:color="auto"/>
        <w:right w:val="none" w:sz="0" w:space="0" w:color="auto"/>
      </w:divBdr>
      <w:divsChild>
        <w:div w:id="1489324471">
          <w:marLeft w:val="0"/>
          <w:marRight w:val="0"/>
          <w:marTop w:val="0"/>
          <w:marBottom w:val="0"/>
          <w:divBdr>
            <w:top w:val="none" w:sz="0" w:space="0" w:color="auto"/>
            <w:left w:val="none" w:sz="0" w:space="0" w:color="auto"/>
            <w:bottom w:val="none" w:sz="0" w:space="0" w:color="auto"/>
            <w:right w:val="none" w:sz="0" w:space="0" w:color="auto"/>
          </w:divBdr>
          <w:divsChild>
            <w:div w:id="1672946579">
              <w:marLeft w:val="0"/>
              <w:marRight w:val="0"/>
              <w:marTop w:val="0"/>
              <w:marBottom w:val="0"/>
              <w:divBdr>
                <w:top w:val="none" w:sz="0" w:space="0" w:color="auto"/>
                <w:left w:val="none" w:sz="0" w:space="0" w:color="auto"/>
                <w:bottom w:val="none" w:sz="0" w:space="0" w:color="auto"/>
                <w:right w:val="none" w:sz="0" w:space="0" w:color="auto"/>
              </w:divBdr>
              <w:divsChild>
                <w:div w:id="452946303">
                  <w:marLeft w:val="0"/>
                  <w:marRight w:val="0"/>
                  <w:marTop w:val="0"/>
                  <w:marBottom w:val="0"/>
                  <w:divBdr>
                    <w:top w:val="none" w:sz="0" w:space="0" w:color="auto"/>
                    <w:left w:val="none" w:sz="0" w:space="0" w:color="auto"/>
                    <w:bottom w:val="none" w:sz="0" w:space="0" w:color="auto"/>
                    <w:right w:val="none" w:sz="0" w:space="0" w:color="auto"/>
                  </w:divBdr>
                  <w:divsChild>
                    <w:div w:id="975066652">
                      <w:marLeft w:val="0"/>
                      <w:marRight w:val="0"/>
                      <w:marTop w:val="0"/>
                      <w:marBottom w:val="0"/>
                      <w:divBdr>
                        <w:top w:val="none" w:sz="0" w:space="0" w:color="auto"/>
                        <w:left w:val="none" w:sz="0" w:space="0" w:color="auto"/>
                        <w:bottom w:val="none" w:sz="0" w:space="0" w:color="auto"/>
                        <w:right w:val="none" w:sz="0" w:space="0" w:color="auto"/>
                      </w:divBdr>
                      <w:divsChild>
                        <w:div w:id="599532127">
                          <w:marLeft w:val="0"/>
                          <w:marRight w:val="0"/>
                          <w:marTop w:val="0"/>
                          <w:marBottom w:val="0"/>
                          <w:divBdr>
                            <w:top w:val="none" w:sz="0" w:space="0" w:color="auto"/>
                            <w:left w:val="none" w:sz="0" w:space="0" w:color="auto"/>
                            <w:bottom w:val="none" w:sz="0" w:space="0" w:color="auto"/>
                            <w:right w:val="none" w:sz="0" w:space="0" w:color="auto"/>
                          </w:divBdr>
                          <w:divsChild>
                            <w:div w:id="569079514">
                              <w:marLeft w:val="0"/>
                              <w:marRight w:val="0"/>
                              <w:marTop w:val="0"/>
                              <w:marBottom w:val="0"/>
                              <w:divBdr>
                                <w:top w:val="none" w:sz="0" w:space="0" w:color="auto"/>
                                <w:left w:val="none" w:sz="0" w:space="0" w:color="auto"/>
                                <w:bottom w:val="none" w:sz="0" w:space="0" w:color="auto"/>
                                <w:right w:val="none" w:sz="0" w:space="0" w:color="auto"/>
                              </w:divBdr>
                              <w:divsChild>
                                <w:div w:id="85229097">
                                  <w:marLeft w:val="0"/>
                                  <w:marRight w:val="0"/>
                                  <w:marTop w:val="0"/>
                                  <w:marBottom w:val="0"/>
                                  <w:divBdr>
                                    <w:top w:val="none" w:sz="0" w:space="0" w:color="auto"/>
                                    <w:left w:val="none" w:sz="0" w:space="0" w:color="auto"/>
                                    <w:bottom w:val="none" w:sz="0" w:space="0" w:color="auto"/>
                                    <w:right w:val="none" w:sz="0" w:space="0" w:color="auto"/>
                                  </w:divBdr>
                                  <w:divsChild>
                                    <w:div w:id="380249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136593">
      <w:bodyDiv w:val="1"/>
      <w:marLeft w:val="0"/>
      <w:marRight w:val="0"/>
      <w:marTop w:val="0"/>
      <w:marBottom w:val="0"/>
      <w:divBdr>
        <w:top w:val="none" w:sz="0" w:space="0" w:color="auto"/>
        <w:left w:val="none" w:sz="0" w:space="0" w:color="auto"/>
        <w:bottom w:val="none" w:sz="0" w:space="0" w:color="auto"/>
        <w:right w:val="none" w:sz="0" w:space="0" w:color="auto"/>
      </w:divBdr>
    </w:div>
    <w:div w:id="106741743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1110809/https://nrea.gov.eg/Content/reports/eng%202024%20final%2022-5-2025.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621162404/https://egyptera.org/ar/Downloads/Laws/RenewableLaw.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22085</Words>
  <Characters>125890</Characters>
  <Application>Microsoft Office Word</Application>
  <DocSecurity>0</DocSecurity>
  <Lines>1049</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3</cp:revision>
  <cp:lastPrinted>2025-03-21T00:14:00Z</cp:lastPrinted>
  <dcterms:created xsi:type="dcterms:W3CDTF">2025-07-01T11:16:00Z</dcterms:created>
  <dcterms:modified xsi:type="dcterms:W3CDTF">2025-07-01T11:17:00Z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